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4D84" w14:textId="674BDF68" w:rsidR="007748ED" w:rsidRDefault="007748ED" w:rsidP="00774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r w:rsidR="004449DE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</w:t>
      </w:r>
      <w:r w:rsidR="004449DE">
        <w:rPr>
          <w:b/>
          <w:noProof/>
          <w:sz w:val="24"/>
        </w:rPr>
        <w:t xml:space="preserve"> #107</w:t>
      </w:r>
      <w:r>
        <w:rPr>
          <w:b/>
          <w:noProof/>
          <w:sz w:val="24"/>
        </w:rPr>
        <w:t xml:space="preserve"> </w:t>
      </w:r>
      <w:r w:rsidR="00CD4CB2">
        <w:fldChar w:fldCharType="begin"/>
      </w:r>
      <w:r w:rsidR="00CD4CB2">
        <w:instrText xml:space="preserve"> DOCPROPERTY  MtgTitle  \* MERGEFORMAT </w:instrText>
      </w:r>
      <w:r w:rsidR="00CD4CB2">
        <w:fldChar w:fldCharType="separate"/>
      </w:r>
      <w:r w:rsidR="00CD4CB2">
        <w:fldChar w:fldCharType="end"/>
      </w:r>
      <w:r>
        <w:rPr>
          <w:b/>
          <w:i/>
          <w:noProof/>
          <w:sz w:val="28"/>
        </w:rPr>
        <w:tab/>
      </w:r>
      <w:r w:rsidR="00CD4CB2" w:rsidRPr="00CD4CB2">
        <w:rPr>
          <w:b/>
          <w:i/>
          <w:noProof/>
          <w:sz w:val="28"/>
        </w:rPr>
        <w:t>R4-2309468</w:t>
      </w:r>
    </w:p>
    <w:p w14:paraId="7885B623" w14:textId="4C7C14A9" w:rsidR="007748ED" w:rsidRDefault="00871E22" w:rsidP="007748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7748E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7748ED">
        <w:rPr>
          <w:b/>
          <w:noProof/>
          <w:sz w:val="24"/>
        </w:rPr>
        <w:t xml:space="preserve">, </w:t>
      </w:r>
      <w:r w:rsidR="008312F8">
        <w:rPr>
          <w:b/>
          <w:noProof/>
          <w:sz w:val="24"/>
        </w:rPr>
        <w:t>22th – 26</w:t>
      </w:r>
      <w:r w:rsidR="008312F8" w:rsidRPr="004B4919">
        <w:rPr>
          <w:b/>
          <w:noProof/>
          <w:sz w:val="24"/>
        </w:rPr>
        <w:t>th</w:t>
      </w:r>
      <w:r w:rsidR="004B4919" w:rsidRPr="004B4919">
        <w:rPr>
          <w:b/>
          <w:noProof/>
          <w:sz w:val="24"/>
        </w:rPr>
        <w:t xml:space="preserve"> May 2023</w:t>
      </w:r>
    </w:p>
    <w:p w14:paraId="6B6FC1C9" w14:textId="77777777" w:rsidR="00E546BC" w:rsidRDefault="00E546BC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</w:p>
    <w:p w14:paraId="35952388" w14:textId="716A3003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427928" w:rsidRPr="00427928">
        <w:rPr>
          <w:rFonts w:ascii="Arial" w:hAnsi="Arial" w:cs="Arial"/>
          <w:sz w:val="24"/>
          <w:szCs w:val="24"/>
        </w:rPr>
        <w:t>8.17.4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718DA7F5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427928">
        <w:rPr>
          <w:rFonts w:ascii="Arial" w:hAnsi="Arial" w:cs="Arial"/>
          <w:sz w:val="24"/>
          <w:szCs w:val="24"/>
        </w:rPr>
        <w:t>On FR2</w:t>
      </w:r>
      <w:r w:rsidR="00A07C43">
        <w:rPr>
          <w:rFonts w:ascii="Arial" w:hAnsi="Arial" w:cs="Arial"/>
          <w:sz w:val="24"/>
          <w:szCs w:val="24"/>
        </w:rPr>
        <w:t xml:space="preserve"> CE MU</w:t>
      </w:r>
    </w:p>
    <w:p w14:paraId="3595238B" w14:textId="15D54308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C630B1">
        <w:rPr>
          <w:rFonts w:ascii="Arial" w:hAnsi="Arial" w:cs="Arial"/>
          <w:sz w:val="24"/>
          <w:szCs w:val="24"/>
        </w:rPr>
        <w:t>Approval</w:t>
      </w:r>
      <w:r w:rsidR="000833ED" w:rsidRPr="00354167">
        <w:rPr>
          <w:rFonts w:ascii="Arial" w:hAnsi="Arial" w:cs="Arial"/>
          <w:sz w:val="24"/>
          <w:szCs w:val="24"/>
        </w:rPr>
        <w:t xml:space="preserve"> </w:t>
      </w:r>
    </w:p>
    <w:bookmarkEnd w:id="0"/>
    <w:p w14:paraId="79A676B7" w14:textId="77777777" w:rsidR="005E2166" w:rsidRDefault="005E2166" w:rsidP="00A2425C">
      <w:pPr>
        <w:pStyle w:val="Heading1"/>
        <w:ind w:left="0" w:firstLine="0"/>
      </w:pPr>
      <w:r w:rsidRPr="00647B25">
        <w:t>Introduction</w:t>
      </w:r>
    </w:p>
    <w:p w14:paraId="3595238D" w14:textId="5725D4D7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A07C43">
        <w:rPr>
          <w:rFonts w:eastAsia="Batang"/>
        </w:rPr>
        <w:t xml:space="preserve"> intends to address the preliminary FR2 CE MU element </w:t>
      </w:r>
      <w:r w:rsidR="00A963A8">
        <w:rPr>
          <w:rFonts w:eastAsia="Batang"/>
        </w:rPr>
        <w:t xml:space="preserve">and conclude the preliminary MU budget </w:t>
      </w:r>
      <w:r w:rsidR="00D45963">
        <w:rPr>
          <w:rFonts w:eastAsia="Batang"/>
        </w:rPr>
        <w:t xml:space="preserve">for FR2 </w:t>
      </w:r>
      <w:r w:rsidR="00A07C43">
        <w:rPr>
          <w:rFonts w:eastAsia="Batang"/>
        </w:rPr>
        <w:t>in RAN4</w:t>
      </w:r>
      <w:r w:rsidR="006C2AF9" w:rsidRPr="00354167">
        <w:rPr>
          <w:rFonts w:eastAsia="Batang"/>
        </w:rPr>
        <w:t>.</w:t>
      </w:r>
    </w:p>
    <w:p w14:paraId="3475675B" w14:textId="168C1AB4" w:rsidR="00DB6CE7" w:rsidRDefault="00DB6CE7" w:rsidP="00A2425C">
      <w:pPr>
        <w:pStyle w:val="Heading1"/>
        <w:ind w:left="0" w:firstLine="0"/>
      </w:pPr>
      <w:bookmarkStart w:id="2" w:name="_Ref31104997"/>
      <w:r>
        <w:t>Discussion</w:t>
      </w:r>
    </w:p>
    <w:p w14:paraId="17E91F18" w14:textId="208A83E8" w:rsidR="00A07C43" w:rsidRDefault="00596799" w:rsidP="00A07C43">
      <w:r>
        <w:t>One of the last remaining MU elements to be defined in the preliminary MU budget</w:t>
      </w:r>
      <w:r w:rsidR="00530A8E">
        <w:t xml:space="preserve"> </w:t>
      </w:r>
      <w:r>
        <w:t>for FR2 MIMO OTA test cases in RAN4</w:t>
      </w:r>
      <w:r w:rsidR="004051F3">
        <w:t xml:space="preserve">, see Clause B.2.5 of </w:t>
      </w:r>
      <w:r w:rsidR="004051F3">
        <w:fldChar w:fldCharType="begin"/>
      </w:r>
      <w:r w:rsidR="004051F3">
        <w:instrText xml:space="preserve"> REF _Ref134690914 \r \h </w:instrText>
      </w:r>
      <w:r w:rsidR="004051F3">
        <w:fldChar w:fldCharType="separate"/>
      </w:r>
      <w:r w:rsidR="004051F3">
        <w:t>[1]</w:t>
      </w:r>
      <w:r w:rsidR="004051F3">
        <w:fldChar w:fldCharType="end"/>
      </w:r>
      <w:r w:rsidR="004051F3">
        <w:t xml:space="preserve">, </w:t>
      </w:r>
      <w:r>
        <w:t xml:space="preserve"> is the MU element</w:t>
      </w:r>
      <w:r w:rsidR="00995DD7">
        <w:t xml:space="preserve"> ‘</w:t>
      </w:r>
      <w:r w:rsidR="00995DD7" w:rsidRPr="00995DD7">
        <w:t>Channel Emulator</w:t>
      </w:r>
      <w:r w:rsidR="00995DD7">
        <w:t>.’</w:t>
      </w:r>
      <w:r>
        <w:t xml:space="preserve"> </w:t>
      </w:r>
    </w:p>
    <w:p w14:paraId="51405A8C" w14:textId="76E0C230" w:rsidR="00995DD7" w:rsidRDefault="00995DD7" w:rsidP="00A07C43">
      <w:r>
        <w:t xml:space="preserve">After internal review, it is proposed to </w:t>
      </w:r>
      <w:r w:rsidR="00A37C23">
        <w:t>define the FR2 MU element to match that of FR1 as the same channel emulator</w:t>
      </w:r>
      <w:r w:rsidR="00D140BE">
        <w:t xml:space="preserve"> platform is commonly used for FR1 and FR2</w:t>
      </w:r>
      <w:r w:rsidR="00360275">
        <w:t xml:space="preserve">, i.e., </w:t>
      </w:r>
      <w:r w:rsidR="00D24657">
        <w:t>re-</w:t>
      </w:r>
      <w:r w:rsidR="00263706">
        <w:t>use the following</w:t>
      </w:r>
      <w:r w:rsidR="00D24657">
        <w:t xml:space="preserve"> definition and values from Clause A.2.5</w:t>
      </w:r>
      <w:r w:rsidR="002859F9">
        <w:t xml:space="preserve"> of </w:t>
      </w:r>
      <w:r w:rsidR="002859F9">
        <w:fldChar w:fldCharType="begin"/>
      </w:r>
      <w:r w:rsidR="002859F9">
        <w:instrText xml:space="preserve"> REF _Ref134690914 \r \h </w:instrText>
      </w:r>
      <w:r w:rsidR="002859F9">
        <w:fldChar w:fldCharType="separate"/>
      </w:r>
      <w:r w:rsidR="002859F9">
        <w:t>[1]</w:t>
      </w:r>
      <w:r w:rsidR="002859F9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63706" w14:paraId="5EBCA707" w14:textId="77777777" w:rsidTr="00263706">
        <w:tc>
          <w:tcPr>
            <w:tcW w:w="9631" w:type="dxa"/>
          </w:tcPr>
          <w:tbl>
            <w:tblPr>
              <w:tblW w:w="9780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631"/>
              <w:gridCol w:w="2572"/>
              <w:gridCol w:w="1046"/>
              <w:gridCol w:w="1418"/>
              <w:gridCol w:w="1277"/>
              <w:gridCol w:w="1279"/>
              <w:gridCol w:w="1557"/>
            </w:tblGrid>
            <w:tr w:rsidR="00263706" w14:paraId="406F2E24" w14:textId="77777777" w:rsidTr="00263706">
              <w:trPr>
                <w:cantSplit/>
                <w:tblHeader/>
                <w:jc w:val="center"/>
              </w:trPr>
              <w:tc>
                <w:tcPr>
                  <w:tcW w:w="32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464128E" w14:textId="77777777" w:rsidR="00263706" w:rsidRDefault="00263706" w:rsidP="00263706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UID</w:t>
                  </w:r>
                </w:p>
              </w:tc>
              <w:tc>
                <w:tcPr>
                  <w:tcW w:w="131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E28B730" w14:textId="77777777" w:rsidR="00263706" w:rsidRDefault="00263706" w:rsidP="00263706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Description of uncertainty contribution</w:t>
                  </w:r>
                </w:p>
              </w:tc>
              <w:tc>
                <w:tcPr>
                  <w:tcW w:w="53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B0891F8" w14:textId="77777777" w:rsidR="00263706" w:rsidRDefault="00263706" w:rsidP="00263706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zh-CN"/>
                    </w:rPr>
                    <w:t>Example value (410MHz&lt;f</w:t>
                  </w:r>
                  <w:r>
                    <w:rPr>
                      <w:rFonts w:hint="eastAsia"/>
                      <w:lang w:eastAsia="zh-CN"/>
                    </w:rPr>
                    <w:t>≤</w:t>
                  </w:r>
                  <w:r>
                    <w:rPr>
                      <w:lang w:eastAsia="zh-CN"/>
                    </w:rPr>
                    <w:t xml:space="preserve">3GHz) </w:t>
                  </w:r>
                </w:p>
              </w:tc>
              <w:tc>
                <w:tcPr>
                  <w:tcW w:w="72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2D48F4A" w14:textId="77777777" w:rsidR="00263706" w:rsidRDefault="00263706" w:rsidP="00263706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Example value (3GHz &lt;f</w:t>
                  </w:r>
                  <w:r>
                    <w:rPr>
                      <w:rFonts w:hint="eastAsia"/>
                      <w:lang w:eastAsia="zh-CN"/>
                    </w:rPr>
                    <w:t>≤</w:t>
                  </w:r>
                  <w:r>
                    <w:rPr>
                      <w:lang w:eastAsia="zh-CN"/>
                    </w:rPr>
                    <w:t xml:space="preserve">7.125GHz) </w:t>
                  </w:r>
                </w:p>
              </w:tc>
              <w:tc>
                <w:tcPr>
                  <w:tcW w:w="65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F89EC91" w14:textId="77777777" w:rsidR="00263706" w:rsidRDefault="00263706" w:rsidP="00263706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Distribution of the probability</w:t>
                  </w:r>
                </w:p>
              </w:tc>
              <w:tc>
                <w:tcPr>
                  <w:tcW w:w="65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945329F" w14:textId="77777777" w:rsidR="00263706" w:rsidRDefault="00263706" w:rsidP="00263706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Std Uncertainty (410MHz&lt;f</w:t>
                  </w:r>
                  <w:r>
                    <w:rPr>
                      <w:rFonts w:hint="eastAsia"/>
                      <w:lang w:eastAsia="zh-CN"/>
                    </w:rPr>
                    <w:t>≤</w:t>
                  </w:r>
                  <w:r>
                    <w:rPr>
                      <w:lang w:eastAsia="zh-CN"/>
                    </w:rPr>
                    <w:t>3</w:t>
                  </w:r>
                  <w:proofErr w:type="gramStart"/>
                  <w:r>
                    <w:rPr>
                      <w:lang w:eastAsia="zh-CN"/>
                    </w:rPr>
                    <w:t>GHz)  [</w:t>
                  </w:r>
                  <w:proofErr w:type="gramEnd"/>
                  <w:r>
                    <w:rPr>
                      <w:lang w:eastAsia="zh-CN"/>
                    </w:rPr>
                    <w:t>dB]</w:t>
                  </w:r>
                </w:p>
              </w:tc>
              <w:tc>
                <w:tcPr>
                  <w:tcW w:w="79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EB3BD3A" w14:textId="77777777" w:rsidR="00263706" w:rsidRDefault="00263706" w:rsidP="00263706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Std Uncertainty (3GHz &lt;f</w:t>
                  </w:r>
                  <w:r>
                    <w:rPr>
                      <w:rFonts w:hint="eastAsia"/>
                      <w:lang w:eastAsia="zh-CN"/>
                    </w:rPr>
                    <w:t>≤</w:t>
                  </w:r>
                  <w:r>
                    <w:rPr>
                      <w:lang w:eastAsia="zh-CN"/>
                    </w:rPr>
                    <w:t>7.125</w:t>
                  </w:r>
                  <w:proofErr w:type="gramStart"/>
                  <w:r>
                    <w:rPr>
                      <w:lang w:eastAsia="zh-CN"/>
                    </w:rPr>
                    <w:t>GHz)  [</w:t>
                  </w:r>
                  <w:proofErr w:type="gramEnd"/>
                  <w:r>
                    <w:rPr>
                      <w:lang w:eastAsia="zh-CN"/>
                    </w:rPr>
                    <w:t>dB]</w:t>
                  </w:r>
                </w:p>
              </w:tc>
            </w:tr>
            <w:tr w:rsidR="00263706" w14:paraId="2FFE278A" w14:textId="77777777" w:rsidTr="00263706">
              <w:trPr>
                <w:cantSplit/>
                <w:tblHeader/>
                <w:jc w:val="center"/>
              </w:trPr>
              <w:tc>
                <w:tcPr>
                  <w:tcW w:w="4203" w:type="pct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hideMark/>
                </w:tcPr>
                <w:p w14:paraId="0449ED47" w14:textId="77777777" w:rsidR="00263706" w:rsidRDefault="00263706" w:rsidP="00263706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Stage 2: DUT measurement</w:t>
                  </w:r>
                </w:p>
              </w:tc>
              <w:tc>
                <w:tcPr>
                  <w:tcW w:w="79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</w:tcPr>
                <w:p w14:paraId="23207A3C" w14:textId="77777777" w:rsidR="00263706" w:rsidRDefault="00263706" w:rsidP="00263706">
                  <w:pPr>
                    <w:pStyle w:val="TAC"/>
                    <w:rPr>
                      <w:lang w:eastAsia="en-GB"/>
                    </w:rPr>
                  </w:pPr>
                </w:p>
              </w:tc>
            </w:tr>
            <w:tr w:rsidR="00263706" w14:paraId="0B3F45D1" w14:textId="77777777" w:rsidTr="00263706">
              <w:trPr>
                <w:cantSplit/>
                <w:tblHeader/>
                <w:jc w:val="center"/>
              </w:trPr>
              <w:tc>
                <w:tcPr>
                  <w:tcW w:w="32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C470954" w14:textId="77777777" w:rsidR="00263706" w:rsidRDefault="00263706" w:rsidP="00263706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</w:t>
                  </w:r>
                </w:p>
              </w:tc>
              <w:tc>
                <w:tcPr>
                  <w:tcW w:w="131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C3D9104" w14:textId="77777777" w:rsidR="00263706" w:rsidRPr="00263706" w:rsidRDefault="00263706" w:rsidP="00263706">
                  <w:pPr>
                    <w:pStyle w:val="TAC"/>
                    <w:jc w:val="left"/>
                    <w:rPr>
                      <w:highlight w:val="yellow"/>
                      <w:lang w:eastAsia="en-GB"/>
                    </w:rPr>
                  </w:pPr>
                  <w:r w:rsidRPr="00263706">
                    <w:rPr>
                      <w:highlight w:val="yellow"/>
                      <w:lang w:eastAsia="en-GB"/>
                    </w:rPr>
                    <w:t xml:space="preserve">Channel Emulator </w:t>
                  </w:r>
                </w:p>
                <w:p w14:paraId="00F11475" w14:textId="77777777" w:rsidR="00263706" w:rsidRPr="00263706" w:rsidRDefault="00263706" w:rsidP="00263706">
                  <w:pPr>
                    <w:pStyle w:val="TAC"/>
                    <w:jc w:val="left"/>
                    <w:rPr>
                      <w:highlight w:val="yellow"/>
                      <w:lang w:eastAsia="en-GB"/>
                    </w:rPr>
                  </w:pPr>
                  <w:r w:rsidRPr="00263706">
                    <w:rPr>
                      <w:rFonts w:cs="Arial"/>
                      <w:highlight w:val="yellow"/>
                      <w:lang w:val="en-US" w:eastAsia="en-GB"/>
                    </w:rPr>
                    <w:t>- absolute output power</w:t>
                  </w:r>
                  <w:r w:rsidRPr="00263706">
                    <w:rPr>
                      <w:rFonts w:cs="Arial"/>
                      <w:highlight w:val="yellow"/>
                      <w:lang w:val="en-US" w:eastAsia="en-GB"/>
                    </w:rPr>
                    <w:br/>
                    <w:t>- output signal stability</w:t>
                  </w:r>
                  <w:r w:rsidRPr="00263706">
                    <w:rPr>
                      <w:rFonts w:cs="Arial"/>
                      <w:highlight w:val="yellow"/>
                      <w:lang w:val="en-US" w:eastAsia="en-GB"/>
                    </w:rPr>
                    <w:br/>
                    <w:t>- output stability with temperature</w:t>
                  </w:r>
                </w:p>
              </w:tc>
              <w:tc>
                <w:tcPr>
                  <w:tcW w:w="53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AA835A" w14:textId="77777777" w:rsidR="00263706" w:rsidRPr="00263706" w:rsidRDefault="00263706" w:rsidP="00263706">
                  <w:pPr>
                    <w:pStyle w:val="TAC"/>
                    <w:rPr>
                      <w:rFonts w:cs="Arial"/>
                      <w:highlight w:val="yellow"/>
                      <w:lang w:val="en-US" w:eastAsia="en-GB"/>
                    </w:rPr>
                  </w:pPr>
                </w:p>
                <w:p w14:paraId="177DEC0A" w14:textId="77777777" w:rsidR="00263706" w:rsidRPr="00263706" w:rsidRDefault="00263706" w:rsidP="00263706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263706">
                    <w:rPr>
                      <w:rFonts w:cs="Arial"/>
                      <w:highlight w:val="yellow"/>
                      <w:lang w:val="en-US" w:eastAsia="en-GB"/>
                    </w:rPr>
                    <w:t>1.5dB</w:t>
                  </w:r>
                  <w:r w:rsidRPr="00263706">
                    <w:rPr>
                      <w:rFonts w:cs="Arial"/>
                      <w:highlight w:val="yellow"/>
                      <w:lang w:val="en-US" w:eastAsia="en-GB"/>
                    </w:rPr>
                    <w:br/>
                    <w:t>0.5dB</w:t>
                  </w:r>
                  <w:r w:rsidRPr="00263706">
                    <w:rPr>
                      <w:rFonts w:cs="Arial"/>
                      <w:highlight w:val="yellow"/>
                      <w:lang w:val="en-US" w:eastAsia="en-GB"/>
                    </w:rPr>
                    <w:br/>
                    <w:t>0.4dB</w:t>
                  </w:r>
                </w:p>
              </w:tc>
              <w:tc>
                <w:tcPr>
                  <w:tcW w:w="72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D5007E" w14:textId="77777777" w:rsidR="00263706" w:rsidRPr="00263706" w:rsidRDefault="00263706" w:rsidP="00263706">
                  <w:pPr>
                    <w:pStyle w:val="TAC"/>
                    <w:rPr>
                      <w:rFonts w:cs="Arial"/>
                      <w:highlight w:val="yellow"/>
                      <w:lang w:val="en-US" w:eastAsia="en-GB"/>
                    </w:rPr>
                  </w:pPr>
                </w:p>
                <w:p w14:paraId="0A80B8D8" w14:textId="77777777" w:rsidR="00263706" w:rsidRPr="00263706" w:rsidRDefault="00263706" w:rsidP="00263706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263706">
                    <w:rPr>
                      <w:rFonts w:cs="Arial"/>
                      <w:highlight w:val="yellow"/>
                      <w:lang w:val="en-US" w:eastAsia="en-GB"/>
                    </w:rPr>
                    <w:t>1.5dB</w:t>
                  </w:r>
                  <w:r w:rsidRPr="00263706">
                    <w:rPr>
                      <w:rFonts w:cs="Arial"/>
                      <w:highlight w:val="yellow"/>
                      <w:lang w:val="en-US" w:eastAsia="en-GB"/>
                    </w:rPr>
                    <w:br/>
                    <w:t>0.5dB</w:t>
                  </w:r>
                  <w:r w:rsidRPr="00263706">
                    <w:rPr>
                      <w:rFonts w:cs="Arial"/>
                      <w:highlight w:val="yellow"/>
                      <w:lang w:val="en-US" w:eastAsia="en-GB"/>
                    </w:rPr>
                    <w:br/>
                    <w:t>0.4dB</w:t>
                  </w:r>
                </w:p>
              </w:tc>
              <w:tc>
                <w:tcPr>
                  <w:tcW w:w="65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73FEC7F" w14:textId="77777777" w:rsidR="00263706" w:rsidRPr="00263706" w:rsidRDefault="00263706" w:rsidP="00263706">
                  <w:pPr>
                    <w:pStyle w:val="TAC"/>
                    <w:rPr>
                      <w:highlight w:val="yellow"/>
                      <w:lang w:eastAsia="en-GB"/>
                    </w:rPr>
                  </w:pPr>
                  <w:r w:rsidRPr="00263706">
                    <w:rPr>
                      <w:highlight w:val="yellow"/>
                      <w:lang w:eastAsia="en-GB"/>
                    </w:rPr>
                    <w:t>Actual</w:t>
                  </w:r>
                </w:p>
                <w:p w14:paraId="3A607631" w14:textId="77777777" w:rsidR="00263706" w:rsidRPr="00263706" w:rsidRDefault="00263706" w:rsidP="00263706">
                  <w:pPr>
                    <w:pStyle w:val="TAC"/>
                    <w:rPr>
                      <w:highlight w:val="yellow"/>
                      <w:lang w:eastAsia="en-GB"/>
                    </w:rPr>
                  </w:pPr>
                  <w:r w:rsidRPr="00263706">
                    <w:rPr>
                      <w:highlight w:val="yellow"/>
                      <w:lang w:eastAsia="en-GB"/>
                    </w:rPr>
                    <w:t>(</w:t>
                  </w:r>
                  <w:proofErr w:type="gramStart"/>
                  <w:r w:rsidRPr="00263706">
                    <w:rPr>
                      <w:rFonts w:cs="Arial"/>
                      <w:highlight w:val="yellow"/>
                      <w:lang w:val="en-US" w:eastAsia="en-GB"/>
                    </w:rPr>
                    <w:t>normal</w:t>
                  </w:r>
                  <w:proofErr w:type="gramEnd"/>
                  <w:r w:rsidRPr="00263706">
                    <w:rPr>
                      <w:rFonts w:cs="Arial"/>
                      <w:highlight w:val="yellow"/>
                      <w:lang w:val="en-US" w:eastAsia="en-GB"/>
                    </w:rPr>
                    <w:t>- power;</w:t>
                  </w:r>
                  <w:r w:rsidRPr="00263706">
                    <w:rPr>
                      <w:rFonts w:cs="Arial"/>
                      <w:highlight w:val="yellow"/>
                      <w:lang w:val="en-US" w:eastAsia="en-GB"/>
                    </w:rPr>
                    <w:br/>
                    <w:t>rect-stability</w:t>
                  </w:r>
                  <w:r w:rsidRPr="00263706">
                    <w:rPr>
                      <w:highlight w:val="yellow"/>
                      <w:lang w:eastAsia="en-GB"/>
                    </w:rPr>
                    <w:t>)</w:t>
                  </w:r>
                </w:p>
              </w:tc>
              <w:tc>
                <w:tcPr>
                  <w:tcW w:w="65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1A2F62B" w14:textId="77777777" w:rsidR="00263706" w:rsidRPr="00263706" w:rsidRDefault="00263706" w:rsidP="00263706">
                  <w:pPr>
                    <w:pStyle w:val="TAC"/>
                    <w:rPr>
                      <w:highlight w:val="yellow"/>
                      <w:lang w:eastAsia="ja-JP"/>
                    </w:rPr>
                  </w:pPr>
                  <w:r w:rsidRPr="00263706">
                    <w:rPr>
                      <w:highlight w:val="yellow"/>
                      <w:lang w:eastAsia="ja-JP"/>
                    </w:rPr>
                    <w:t>0.84</w:t>
                  </w:r>
                </w:p>
              </w:tc>
              <w:tc>
                <w:tcPr>
                  <w:tcW w:w="79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3CA843A" w14:textId="77777777" w:rsidR="00263706" w:rsidRPr="00263706" w:rsidRDefault="00263706" w:rsidP="00263706">
                  <w:pPr>
                    <w:pStyle w:val="TAC"/>
                    <w:rPr>
                      <w:highlight w:val="yellow"/>
                      <w:lang w:eastAsia="ja-JP"/>
                    </w:rPr>
                  </w:pPr>
                  <w:r w:rsidRPr="00263706">
                    <w:rPr>
                      <w:highlight w:val="yellow"/>
                      <w:lang w:eastAsia="ja-JP"/>
                    </w:rPr>
                    <w:t>0.84</w:t>
                  </w:r>
                </w:p>
              </w:tc>
            </w:tr>
          </w:tbl>
          <w:p w14:paraId="46B9BE0C" w14:textId="77777777" w:rsidR="00263706" w:rsidRDefault="00263706" w:rsidP="00A07C43"/>
        </w:tc>
      </w:tr>
    </w:tbl>
    <w:p w14:paraId="42B8C1EC" w14:textId="6539AF0D" w:rsidR="00263706" w:rsidRPr="00530A8E" w:rsidRDefault="00530A8E" w:rsidP="00530A8E">
      <w:pPr>
        <w:pStyle w:val="Caption"/>
      </w:pPr>
      <w:bookmarkStart w:id="3" w:name="_Ref134691443"/>
      <w:r w:rsidRPr="00530A8E">
        <w:t xml:space="preserve">Proposal </w:t>
      </w:r>
      <w:r w:rsidRPr="00530A8E">
        <w:fldChar w:fldCharType="begin"/>
      </w:r>
      <w:r w:rsidRPr="00530A8E">
        <w:instrText xml:space="preserve"> SEQ Proposal \* ARABIC </w:instrText>
      </w:r>
      <w:r w:rsidRPr="00530A8E">
        <w:fldChar w:fldCharType="separate"/>
      </w:r>
      <w:r w:rsidRPr="00530A8E">
        <w:rPr>
          <w:noProof/>
        </w:rPr>
        <w:t>1</w:t>
      </w:r>
      <w:r w:rsidRPr="00530A8E">
        <w:fldChar w:fldCharType="end"/>
      </w:r>
      <w:r>
        <w:t>: Re-use the FR1 Channel Emulator definition and MU values</w:t>
      </w:r>
      <w:r w:rsidR="00853F22">
        <w:t xml:space="preserve"> for </w:t>
      </w:r>
      <w:proofErr w:type="gramStart"/>
      <w:r w:rsidR="00853F22">
        <w:t>FR2</w:t>
      </w:r>
      <w:bookmarkEnd w:id="3"/>
      <w:proofErr w:type="gramEnd"/>
    </w:p>
    <w:bookmarkEnd w:id="1"/>
    <w:bookmarkEnd w:id="2"/>
    <w:p w14:paraId="701A1CDC" w14:textId="77777777" w:rsidR="00F6267E" w:rsidRDefault="00F6267E" w:rsidP="00A2425C">
      <w:pPr>
        <w:pStyle w:val="Heading1"/>
        <w:ind w:left="0" w:firstLine="0"/>
      </w:pPr>
      <w:r>
        <w:t>Conclusion</w:t>
      </w:r>
    </w:p>
    <w:p w14:paraId="41FA10DA" w14:textId="34D211C5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2C2BE40F" w14:textId="4A14FAC1" w:rsidR="00853F22" w:rsidRPr="00427CFA" w:rsidRDefault="00853F22" w:rsidP="00F6267E">
      <w:pPr>
        <w:rPr>
          <w:b/>
          <w:bCs/>
        </w:rPr>
      </w:pPr>
      <w:r w:rsidRPr="00427CFA">
        <w:rPr>
          <w:b/>
          <w:bCs/>
        </w:rPr>
        <w:fldChar w:fldCharType="begin"/>
      </w:r>
      <w:r w:rsidRPr="00427CFA">
        <w:rPr>
          <w:b/>
          <w:bCs/>
        </w:rPr>
        <w:instrText xml:space="preserve"> REF _Ref134691443 \h </w:instrText>
      </w:r>
      <w:r w:rsidR="00427CFA" w:rsidRPr="00427CFA">
        <w:rPr>
          <w:b/>
          <w:bCs/>
        </w:rPr>
        <w:instrText xml:space="preserve"> \* MERGEFORMAT </w:instrText>
      </w:r>
      <w:r w:rsidRPr="00427CFA">
        <w:rPr>
          <w:b/>
          <w:bCs/>
        </w:rPr>
      </w:r>
      <w:r w:rsidRPr="00427CFA">
        <w:rPr>
          <w:b/>
          <w:bCs/>
        </w:rPr>
        <w:fldChar w:fldCharType="separate"/>
      </w:r>
      <w:r w:rsidRPr="00427CFA">
        <w:rPr>
          <w:b/>
          <w:bCs/>
        </w:rPr>
        <w:t xml:space="preserve">Proposal </w:t>
      </w:r>
      <w:r w:rsidRPr="00427CFA">
        <w:rPr>
          <w:b/>
          <w:bCs/>
          <w:noProof/>
        </w:rPr>
        <w:t>1</w:t>
      </w:r>
      <w:r w:rsidRPr="00427CFA">
        <w:rPr>
          <w:b/>
          <w:bCs/>
        </w:rPr>
        <w:t>: Re-use the FR1 Channel Emulator definition and MU values for FR2</w:t>
      </w:r>
      <w:r w:rsidRPr="00427CFA">
        <w:rPr>
          <w:b/>
          <w:bCs/>
        </w:rPr>
        <w:fldChar w:fldCharType="end"/>
      </w:r>
    </w:p>
    <w:p w14:paraId="5CCB1538" w14:textId="77777777" w:rsidR="00CB54AD" w:rsidRDefault="00CB54AD" w:rsidP="00A2425C">
      <w:pPr>
        <w:pStyle w:val="Heading1"/>
        <w:ind w:left="0" w:firstLine="0"/>
      </w:pPr>
      <w:r>
        <w:t>References</w:t>
      </w:r>
    </w:p>
    <w:p w14:paraId="57E68977" w14:textId="7A679E58" w:rsidR="003404F4" w:rsidRPr="00354167" w:rsidRDefault="00596799" w:rsidP="0059679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4" w:name="_Ref134690914"/>
      <w:r>
        <w:t xml:space="preserve">TS 38.151, </w:t>
      </w:r>
      <w:r w:rsidRPr="00CA2620">
        <w:t>Multiple Input Multiple Output (MIMO) Over-the-Air (OTA) performance requirements</w:t>
      </w:r>
      <w:bookmarkEnd w:id="4"/>
    </w:p>
    <w:sectPr w:rsidR="003404F4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5051D" w14:textId="77777777" w:rsidR="003E4521" w:rsidRDefault="003E4521">
      <w:r>
        <w:separator/>
      </w:r>
    </w:p>
  </w:endnote>
  <w:endnote w:type="continuationSeparator" w:id="0">
    <w:p w14:paraId="2250C3FA" w14:textId="77777777" w:rsidR="003E4521" w:rsidRDefault="003E4521">
      <w:r>
        <w:continuationSeparator/>
      </w:r>
    </w:p>
  </w:endnote>
  <w:endnote w:type="continuationNotice" w:id="1">
    <w:p w14:paraId="00B646B4" w14:textId="77777777" w:rsidR="003E4521" w:rsidRDefault="003E45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B47DF" w14:textId="77777777" w:rsidR="003E4521" w:rsidRDefault="003E4521">
      <w:r>
        <w:separator/>
      </w:r>
    </w:p>
  </w:footnote>
  <w:footnote w:type="continuationSeparator" w:id="0">
    <w:p w14:paraId="2A801B6F" w14:textId="77777777" w:rsidR="003E4521" w:rsidRDefault="003E4521">
      <w:r>
        <w:continuationSeparator/>
      </w:r>
    </w:p>
  </w:footnote>
  <w:footnote w:type="continuationNotice" w:id="1">
    <w:p w14:paraId="6CCC5AE5" w14:textId="77777777" w:rsidR="003E4521" w:rsidRDefault="003E45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0"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15BC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706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59F9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5453"/>
    <w:rsid w:val="00306D8E"/>
    <w:rsid w:val="00307D2C"/>
    <w:rsid w:val="00313528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0275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AA0"/>
    <w:rsid w:val="003B478A"/>
    <w:rsid w:val="003B5AB0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4521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51F3"/>
    <w:rsid w:val="00413C3E"/>
    <w:rsid w:val="00413C6C"/>
    <w:rsid w:val="0041477A"/>
    <w:rsid w:val="00417068"/>
    <w:rsid w:val="004204BB"/>
    <w:rsid w:val="00420AD5"/>
    <w:rsid w:val="00426356"/>
    <w:rsid w:val="00427928"/>
    <w:rsid w:val="00427B4E"/>
    <w:rsid w:val="00427CFA"/>
    <w:rsid w:val="00431287"/>
    <w:rsid w:val="004420B4"/>
    <w:rsid w:val="00444225"/>
    <w:rsid w:val="004449DE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B4919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0A8E"/>
    <w:rsid w:val="0053435C"/>
    <w:rsid w:val="00534F8F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96799"/>
    <w:rsid w:val="005A0EDD"/>
    <w:rsid w:val="005A616F"/>
    <w:rsid w:val="005A6F48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68BD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2259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70A12"/>
    <w:rsid w:val="007748ED"/>
    <w:rsid w:val="00774B17"/>
    <w:rsid w:val="007756A1"/>
    <w:rsid w:val="0078088D"/>
    <w:rsid w:val="00785759"/>
    <w:rsid w:val="00785D03"/>
    <w:rsid w:val="007927CF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E97"/>
    <w:rsid w:val="007B6FFB"/>
    <w:rsid w:val="007C0BFC"/>
    <w:rsid w:val="007C6DD8"/>
    <w:rsid w:val="007D0054"/>
    <w:rsid w:val="007D258B"/>
    <w:rsid w:val="007D2F2F"/>
    <w:rsid w:val="007D36D3"/>
    <w:rsid w:val="007D3BE3"/>
    <w:rsid w:val="007D6048"/>
    <w:rsid w:val="007E0486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12F8"/>
    <w:rsid w:val="00836C44"/>
    <w:rsid w:val="0083754E"/>
    <w:rsid w:val="00837660"/>
    <w:rsid w:val="00840A11"/>
    <w:rsid w:val="008450F8"/>
    <w:rsid w:val="00845E55"/>
    <w:rsid w:val="00846391"/>
    <w:rsid w:val="00853CDF"/>
    <w:rsid w:val="00853F22"/>
    <w:rsid w:val="008541B3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5DD7"/>
    <w:rsid w:val="00997D88"/>
    <w:rsid w:val="009A5F26"/>
    <w:rsid w:val="009A63AD"/>
    <w:rsid w:val="009C0727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07C43"/>
    <w:rsid w:val="00A165D9"/>
    <w:rsid w:val="00A17573"/>
    <w:rsid w:val="00A210B9"/>
    <w:rsid w:val="00A22FB6"/>
    <w:rsid w:val="00A2310D"/>
    <w:rsid w:val="00A2425C"/>
    <w:rsid w:val="00A25AEB"/>
    <w:rsid w:val="00A277B2"/>
    <w:rsid w:val="00A313BC"/>
    <w:rsid w:val="00A320FB"/>
    <w:rsid w:val="00A3540D"/>
    <w:rsid w:val="00A3584A"/>
    <w:rsid w:val="00A37C23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63A8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6792"/>
    <w:rsid w:val="00C6278C"/>
    <w:rsid w:val="00C630B1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9614A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6580"/>
    <w:rsid w:val="00CC6FE0"/>
    <w:rsid w:val="00CD4CB2"/>
    <w:rsid w:val="00CD554E"/>
    <w:rsid w:val="00CD6130"/>
    <w:rsid w:val="00CE0386"/>
    <w:rsid w:val="00CF0031"/>
    <w:rsid w:val="00CF0C99"/>
    <w:rsid w:val="00CF46D3"/>
    <w:rsid w:val="00CF61F2"/>
    <w:rsid w:val="00D076FD"/>
    <w:rsid w:val="00D1118A"/>
    <w:rsid w:val="00D12CB8"/>
    <w:rsid w:val="00D140BE"/>
    <w:rsid w:val="00D16CE2"/>
    <w:rsid w:val="00D21245"/>
    <w:rsid w:val="00D21C9F"/>
    <w:rsid w:val="00D22BEB"/>
    <w:rsid w:val="00D24657"/>
    <w:rsid w:val="00D26BF2"/>
    <w:rsid w:val="00D33C1E"/>
    <w:rsid w:val="00D37444"/>
    <w:rsid w:val="00D37A5A"/>
    <w:rsid w:val="00D402C2"/>
    <w:rsid w:val="00D45963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7EA4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B6CE7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502C4"/>
    <w:rsid w:val="00E5455B"/>
    <w:rsid w:val="00E546BC"/>
    <w:rsid w:val="00E556C7"/>
    <w:rsid w:val="00E55ABC"/>
    <w:rsid w:val="00E56168"/>
    <w:rsid w:val="00E57B74"/>
    <w:rsid w:val="00E57FEF"/>
    <w:rsid w:val="00E642B3"/>
    <w:rsid w:val="00E70C18"/>
    <w:rsid w:val="00E71B84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5AF5C1-B235-4B9E-BB40-B7A6216F8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239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75</cp:revision>
  <dcterms:created xsi:type="dcterms:W3CDTF">2020-05-26T02:02:00Z</dcterms:created>
  <dcterms:modified xsi:type="dcterms:W3CDTF">2023-05-15T17:54:00Z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